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1C71"/>
    <w:tbl>
      <w:tblPr>
        <w:tblW w:w="9128" w:type="dxa"/>
        <w:tblInd w:w="93" w:type="dxa"/>
        <w:tblLook w:val="04A0"/>
      </w:tblPr>
      <w:tblGrid>
        <w:gridCol w:w="7528"/>
        <w:gridCol w:w="1600"/>
      </w:tblGrid>
      <w:tr w:rsidR="00BA1C71" w:rsidRPr="00BA1C71" w:rsidTr="00BA1C71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71" w:rsidRPr="00BA1C71" w:rsidRDefault="00BA1C71" w:rsidP="00B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C7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технологических потерь электрической энергии при ее передаче по электрическим сетям ООО "АСЭП" на 2015 год, % от отпуска электрической энергии в сеть*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71" w:rsidRPr="00BA1C71" w:rsidRDefault="00BA1C71" w:rsidP="00BA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C71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BA1C71" w:rsidRPr="00BA1C71" w:rsidTr="00BA1C71">
        <w:trPr>
          <w:trHeight w:val="315"/>
        </w:trPr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C71" w:rsidRPr="00BA1C71" w:rsidRDefault="00BA1C71" w:rsidP="00B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71">
              <w:rPr>
                <w:rFonts w:ascii="Times New Roman" w:eastAsia="Times New Roman" w:hAnsi="Times New Roman" w:cs="Times New Roman"/>
                <w:sz w:val="20"/>
                <w:szCs w:val="20"/>
              </w:rPr>
              <w:t>* Утвержден приказом Минэнерго России от 17.11.2014 г. № 842</w:t>
            </w:r>
          </w:p>
        </w:tc>
      </w:tr>
    </w:tbl>
    <w:p w:rsidR="00BA1C71" w:rsidRDefault="00BA1C71"/>
    <w:sectPr w:rsidR="00BA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1C71"/>
    <w:rsid w:val="00BA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WareZ Provider 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2015-03-05T14:09:00Z</dcterms:created>
  <dcterms:modified xsi:type="dcterms:W3CDTF">2015-03-05T14:10:00Z</dcterms:modified>
</cp:coreProperties>
</file>